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2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Порядок присоединения торгово-сервисных предприятий к оказанию услуги «Наличные на кассе» (выдача наличных денег держателям банковских платежных карт на кассах при совершении покупки)</w:t>
      </w:r>
    </w:p>
    <w:p>
      <w:pPr>
        <w:pStyle w:val="Normal"/>
        <w:spacing w:lineRule="auto" w:line="336" w:before="120" w:after="0"/>
        <w:ind w:firstLine="709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Преимущества для ТСП</w:t>
      </w:r>
    </w:p>
    <w:p>
      <w:pPr>
        <w:pStyle w:val="Normal"/>
        <w:spacing w:lineRule="auto" w:line="33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Тысячи владельцев торгово-сервисных предприятий уже оценили конкурентные преимущества, которые получает их бизнес благодаря услуге «Наличные на кассе»:</w:t>
      </w:r>
    </w:p>
    <w:p>
      <w:pPr>
        <w:pStyle w:val="ListParagraph"/>
        <w:numPr>
          <w:ilvl w:val="0"/>
          <w:numId w:val="2"/>
        </w:numPr>
        <w:spacing w:lineRule="auto" w:line="336" w:before="0" w:after="0"/>
        <w:ind w:hanging="360" w:left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привлечение новых и удержание старых клиентов за счет расширения сервиса предоставляемых услуг;</w:t>
      </w:r>
    </w:p>
    <w:p>
      <w:pPr>
        <w:pStyle w:val="ListParagraph"/>
        <w:numPr>
          <w:ilvl w:val="0"/>
          <w:numId w:val="2"/>
        </w:numPr>
        <w:spacing w:lineRule="auto" w:line="336" w:before="0" w:after="0"/>
        <w:ind w:hanging="360" w:left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получение дополнительного дохода (банк выплачивает вознаграждение);</w:t>
      </w:r>
    </w:p>
    <w:p>
      <w:pPr>
        <w:pStyle w:val="ListParagraph"/>
        <w:numPr>
          <w:ilvl w:val="0"/>
          <w:numId w:val="2"/>
        </w:numPr>
        <w:spacing w:lineRule="auto" w:line="336" w:before="0" w:after="0"/>
        <w:ind w:hanging="360" w:left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увеличение объема продаж, так как услуга «Наличные на кассе» возможна только с покупкой;</w:t>
      </w:r>
    </w:p>
    <w:p>
      <w:pPr>
        <w:pStyle w:val="ListParagraph"/>
        <w:numPr>
          <w:ilvl w:val="0"/>
          <w:numId w:val="2"/>
        </w:numPr>
        <w:spacing w:lineRule="auto" w:line="336" w:before="0" w:after="0"/>
        <w:ind w:hanging="360" w:left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снижение издержек на инкассацию;</w:t>
      </w:r>
    </w:p>
    <w:p>
      <w:pPr>
        <w:pStyle w:val="ListParagraph"/>
        <w:numPr>
          <w:ilvl w:val="0"/>
          <w:numId w:val="2"/>
        </w:numPr>
        <w:spacing w:lineRule="auto" w:line="336" w:before="0" w:after="0"/>
        <w:ind w:hanging="360" w:left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возможность участия в мотивационных программах банка.</w:t>
      </w:r>
    </w:p>
    <w:p>
      <w:pPr>
        <w:pStyle w:val="Normal"/>
        <w:spacing w:lineRule="auto" w:line="336" w:before="12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Владельцы ТСП должны обеспечить: </w:t>
      </w:r>
    </w:p>
    <w:p>
      <w:pPr>
        <w:pStyle w:val="ListParagraph"/>
        <w:numPr>
          <w:ilvl w:val="0"/>
          <w:numId w:val="2"/>
        </w:numPr>
        <w:spacing w:lineRule="auto" w:line="336" w:before="0" w:after="0"/>
        <w:ind w:hanging="360" w:left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обучение персонала (банк и поставщик кассового программного обеспечения (ПО) предоставляют инструкции и описание функционала);</w:t>
      </w:r>
    </w:p>
    <w:p>
      <w:pPr>
        <w:pStyle w:val="ListParagraph"/>
        <w:numPr>
          <w:ilvl w:val="0"/>
          <w:numId w:val="2"/>
        </w:numPr>
        <w:spacing w:lineRule="auto" w:line="336" w:before="0" w:after="0"/>
        <w:ind w:hanging="360" w:left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консультирование покупателей по условиям проведения операции «Наличные на кассе» до момента проведения операции; </w:t>
      </w:r>
    </w:p>
    <w:p>
      <w:pPr>
        <w:pStyle w:val="ListParagraph"/>
        <w:numPr>
          <w:ilvl w:val="0"/>
          <w:numId w:val="2"/>
        </w:numPr>
        <w:spacing w:lineRule="auto" w:line="336" w:before="0" w:after="0"/>
        <w:ind w:hanging="360" w:left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отражение в бухгалтерском и налоговом учете деятельности банковского платежного агента (БПА); </w:t>
      </w:r>
    </w:p>
    <w:p>
      <w:pPr>
        <w:pStyle w:val="ListParagraph"/>
        <w:numPr>
          <w:ilvl w:val="0"/>
          <w:numId w:val="2"/>
        </w:numPr>
        <w:spacing w:lineRule="auto" w:line="336" w:before="0" w:after="0"/>
        <w:ind w:hanging="360" w:left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прохождение периодической проверки по требованию банка. </w:t>
      </w:r>
    </w:p>
    <w:p>
      <w:pPr>
        <w:pStyle w:val="Normal"/>
        <w:spacing w:lineRule="auto" w:line="336" w:before="12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Порядок действий</w:t>
      </w:r>
    </w:p>
    <w:p>
      <w:pPr>
        <w:pStyle w:val="Normal"/>
        <w:spacing w:lineRule="auto" w:line="33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того чтобы начать предоставлять услугу населению по выдаче наличных на кассе, ТСП необходимо выполнить следующие шаги. </w:t>
      </w:r>
    </w:p>
    <w:p>
      <w:pPr>
        <w:pStyle w:val="ListParagraph"/>
        <w:spacing w:lineRule="auto" w:line="336" w:before="0" w:after="0"/>
        <w:ind w:left="34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Иметь действующий/заключить договор эквайринга;</w:t>
      </w:r>
    </w:p>
    <w:p>
      <w:pPr>
        <w:pStyle w:val="ListParagraph"/>
        <w:spacing w:lineRule="auto" w:line="336" w:before="0" w:after="0"/>
        <w:ind w:left="34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Заключить типовой договор с банком о выполнении функций БПА по выдаче наличных денежных средств (не может быть в форме дополнительного соглашения при наличии договора торгового эквайринга);</w:t>
      </w:r>
    </w:p>
    <w:p>
      <w:pPr>
        <w:pStyle w:val="ListParagraph"/>
        <w:spacing w:lineRule="auto" w:line="336" w:before="0" w:after="0"/>
        <w:ind w:left="34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3) Зарегистрировать в Федеральной налоговой службе (далее – ФНС) вид деятельности с кодом ОКВЭД 66.19 «Деятельность вспомогательная прочая в сфере финансовых услуг, кроме страхования и пенсионного обеспечения» (используемая контрольно-кассовая техника (ККТ) также должна быть зарегистрирована в ФНС); </w:t>
      </w:r>
    </w:p>
    <w:p>
      <w:pPr>
        <w:pStyle w:val="ListParagraph"/>
        <w:spacing w:lineRule="auto" w:line="336" w:before="0" w:after="0"/>
        <w:ind w:left="34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Провести настройку ККТ (кассового ПО);</w:t>
      </w:r>
    </w:p>
    <w:p>
      <w:pPr>
        <w:pStyle w:val="ListParagraph"/>
        <w:spacing w:lineRule="auto" w:line="336" w:before="0" w:after="0"/>
        <w:ind w:left="34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5) Разместить в помещении ТСП в уголке потребителя информацию о деятельности БПА, необходимую клиентам. </w:t>
      </w:r>
    </w:p>
    <w:p>
      <w:pPr>
        <w:pStyle w:val="Normal"/>
        <w:spacing w:lineRule="auto" w:line="336" w:before="12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Настройка оборудования</w:t>
      </w:r>
    </w:p>
    <w:p>
      <w:pPr>
        <w:pStyle w:val="Normal"/>
        <w:spacing w:lineRule="auto" w:line="33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После заключения договора БПА банк, в зависимости от модели оборудования, установленного в ТСП в рамках договора торгового эквайринга, либо удаленно обновляет ПО, либо заменяет оборудование на модель, поддерживающую необходимый функционал. Банк уведомляет ТСП о необходимости доработки кассового ПО и, по желанию ТСП, подключает предоставленное оборудование к кассе. </w:t>
      </w:r>
    </w:p>
    <w:p>
      <w:pPr>
        <w:pStyle w:val="Normal"/>
        <w:spacing w:lineRule="auto" w:line="33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случаях, когда ТСП использует какие-то иные модели кассового оборудования, не из числа рекомендованных банком, банк не проводит доработку кассового ПО, но может оказать поддержку при взаимодействии между ТСП и обслуживающей организацией, дорабатывающей кассовое ПО.</w:t>
      </w:r>
    </w:p>
    <w:p>
      <w:pPr>
        <w:pStyle w:val="Normal"/>
        <w:spacing w:lineRule="auto" w:line="336" w:before="12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Обучение персонала</w:t>
      </w:r>
    </w:p>
    <w:p>
      <w:pPr>
        <w:pStyle w:val="Normal"/>
        <w:spacing w:lineRule="auto" w:line="336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Банк дает рекомендации и общую информацию по работе при оказании услуги БПА. ТСП самостоятельно организует подготовку и обучение персонала на основании информации, полученной от банка и обслуживающей организации, предоставляющей кассовое ПО. </w:t>
      </w:r>
    </w:p>
    <w:p>
      <w:pPr>
        <w:pStyle w:val="Normal"/>
        <w:spacing w:lineRule="auto" w:line="336" w:before="12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Процесс проверки качества работы</w:t>
      </w:r>
    </w:p>
    <w:p>
      <w:pPr>
        <w:pStyle w:val="Normal"/>
        <w:spacing w:lineRule="auto" w:line="33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Банк контролирует соблюдение ТСП требований Договора о выполнении функций БПА, а также требований действующего законодательства к деятельности ТСП в качестве БПА. Контроль может проводиться в том числе удаленно.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5207494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532b40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32b40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b58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3159b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93159b"/>
    <w:rPr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93159b"/>
    <w:rPr>
      <w:b/>
      <w:bCs/>
      <w:sz w:val="20"/>
      <w:szCs w:val="20"/>
    </w:rPr>
  </w:style>
  <w:style w:type="character" w:styleId="Style19" w:customStyle="1">
    <w:name w:val="Текст сноски Знак"/>
    <w:basedOn w:val="DefaultParagraphFont"/>
    <w:uiPriority w:val="99"/>
    <w:semiHidden/>
    <w:qFormat/>
    <w:rsid w:val="007d4c29"/>
    <w:rPr>
      <w:sz w:val="20"/>
      <w:szCs w:val="20"/>
    </w:rPr>
  </w:style>
  <w:style w:type="character" w:styleId="Style20">
    <w:name w:val="Символ сноски"/>
    <w:basedOn w:val="DefaultParagraphFont"/>
    <w:uiPriority w:val="99"/>
    <w:semiHidden/>
    <w:unhideWhenUsed/>
    <w:qFormat/>
    <w:rsid w:val="007d4c2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6398f"/>
    <w:rPr>
      <w:color w:themeColor="hyperlink" w:val="0563C1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653ca7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32b4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532b4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b58e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93159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93159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d4c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9"/>
    <w:uiPriority w:val="99"/>
    <w:semiHidden/>
    <w:unhideWhenUsed/>
    <w:rsid w:val="007d4c29"/>
    <w:pPr>
      <w:spacing w:lineRule="auto" w:line="240" w:before="0" w:after="0"/>
    </w:pPr>
    <w:rPr>
      <w:sz w:val="20"/>
      <w:szCs w:val="20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<Relationship Id="rId13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0723261257DF4D8619C8AE91410602" ma:contentTypeVersion="0" ma:contentTypeDescription="Создание документа." ma:contentTypeScope="" ma:versionID="dfbae28ab906724b46481c6aa64fa12e">
  <xsd:schema xmlns:xsd="http://www.w3.org/2001/XMLSchema" xmlns:xs="http://www.w3.org/2001/XMLSchema" xmlns:p="http://schemas.microsoft.com/office/2006/metadata/properties" xmlns:ns2="62476068-6579-47b3-9ca6-d808953ed51b" targetNamespace="http://schemas.microsoft.com/office/2006/metadata/properties" ma:root="true" ma:fieldsID="1616d2e1fb7d24967d0fe574cc05d9aa" ns2:_="">
    <xsd:import namespace="62476068-6579-47b3-9ca6-d808953ed5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6068-6579-47b3-9ca6-d808953ed5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476068-6579-47b3-9ca6-d808953ed51b">D2JNY5CRSE2M-1635087375-1847</_dlc_DocId>
    <_dlc_DocIdUrl xmlns="62476068-6579-47b3-9ca6-d808953ed51b">
      <Url>https://simr.cbr.ru/sites/szpp/docs_FD/_layouts/15/DocIdRedir.aspx?ID=D2JNY5CRSE2M-1635087375-1847</Url>
      <Description>D2JNY5CRSE2M-1635087375-1847</Description>
    </_dlc_DocIdUrl>
  </documentManagement>
</p:properties>
</file>

<file path=customXml/itemProps1.xml><?xml version="1.0" encoding="utf-8"?>
<ds:datastoreItem xmlns:ds="http://schemas.openxmlformats.org/officeDocument/2006/customXml" ds:itemID="{A86EDEE7-EF62-4D00-BAA0-7586C498A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76068-6579-47b3-9ca6-d808953ed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072C5-B2EA-44F7-9561-693F49450B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876D8E-C132-45A8-8988-182200FB6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B6214D-B1AA-4BFE-91BA-BFC9C93C53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5AC067-8FDA-4D59-AF3E-B3DE77FE5D86}">
  <ds:schemaRefs>
    <ds:schemaRef ds:uri="http://schemas.microsoft.com/office/2006/metadata/properties"/>
    <ds:schemaRef ds:uri="http://schemas.microsoft.com/office/infopath/2007/PartnerControls"/>
    <ds:schemaRef ds:uri="62476068-6579-47b3-9ca6-d808953ed5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LibreOffice/24.8.4.1$Linux_X86_64 LibreOffice_project/480$Build-1</Application>
  <AppVersion>15.0000</AppVersion>
  <Pages>2</Pages>
  <Words>399</Words>
  <Characters>2748</Characters>
  <CharactersWithSpaces>3195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2024-07-22T15:17:00Z</dcterms:created>
  <dc:creator>Прусакова Наталия Александровна</dc:creator>
  <dc:description/>
  <dc:language>ru-RU</dc:language>
  <cp:lastModifiedBy>Прусакова Наталия Александровна</cp:lastModifiedBy>
  <cp:lastPrinted>2024-07-23T06:24:00Z</cp:lastPrinted>
  <dcterms:modified xsi:type="dcterms:W3CDTF">2026-04-02T15:10:00Z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0x0101008F0723261257DF4D8619C8AE91410602</vt:lpwstr>
  </property>
  <property fmtid="{D5CDD505-2E9C-101B-9397-08002B2CF9AE}" pid="3" name="_dlc_DocIdItemGuid">
    <vt:lpwstr>b1978330-bb70-40c7-a992-3692b6694e6c</vt:lpwstr>
  </property>
</Properties>
</file>